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52" w:rsidRPr="006C0755" w:rsidRDefault="00900552" w:rsidP="002908FE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page_69_0"/>
      <w:r w:rsidRPr="006C0755">
        <w:rPr>
          <w:rFonts w:ascii="Times New Roman" w:hAnsi="Times New Roman" w:cs="Times New Roman"/>
          <w:b/>
          <w:sz w:val="24"/>
          <w:lang w:val="kk-KZ"/>
        </w:rPr>
        <w:t>Мақаланың аннотациясын жасау үшін ұсыныстар</w:t>
      </w:r>
    </w:p>
    <w:p w:rsidR="00900552" w:rsidRDefault="00900552">
      <w:pPr>
        <w:spacing w:after="9" w:line="140" w:lineRule="exact"/>
        <w:rPr>
          <w:rFonts w:ascii="Arial" w:eastAsia="Arial" w:hAnsi="Arial" w:cs="Arial"/>
          <w:b/>
          <w:bCs/>
          <w:color w:val="0366A3"/>
          <w:sz w:val="36"/>
          <w:szCs w:val="36"/>
        </w:rPr>
      </w:pPr>
    </w:p>
    <w:p w:rsidR="00900552" w:rsidRDefault="00900552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9F1958" w:rsidRPr="009B6FB3" w:rsidRDefault="009B6FB3" w:rsidP="009B6F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6FB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B392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B6F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басылымдағы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Аннотация (реферат)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мақаланың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баяндалған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8FE" w:rsidRPr="009B6FB3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2908FE" w:rsidRPr="009B6FB3">
        <w:rPr>
          <w:rFonts w:ascii="Times New Roman" w:hAnsi="Times New Roman" w:cs="Times New Roman"/>
          <w:sz w:val="24"/>
          <w:szCs w:val="24"/>
        </w:rPr>
        <w:t>.</w:t>
      </w:r>
    </w:p>
    <w:p w:rsidR="002908FE" w:rsidRPr="009B6FB3" w:rsidRDefault="002908FE" w:rsidP="009B6F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8FE" w:rsidRPr="009B6FB3" w:rsidRDefault="002908FE" w:rsidP="009B6FB3">
      <w:pPr>
        <w:widowControl w:val="0"/>
        <w:spacing w:before="93" w:line="234" w:lineRule="auto"/>
        <w:ind w:left="554" w:right="49" w:hanging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Аннотация (реферат) </w:t>
      </w: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келесі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функцияларды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орындайды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55917" w:rsidRPr="009B6FB3" w:rsidRDefault="006F272E" w:rsidP="009B6F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6FB3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sz w:val="24"/>
          <w:szCs w:val="24"/>
        </w:rPr>
        <w:tab/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2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2B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2C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өзектілігін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мәтініне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жүгіну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255917" w:rsidRPr="009B6FB3">
        <w:rPr>
          <w:rFonts w:ascii="Times New Roman" w:hAnsi="Times New Roman" w:cs="Times New Roman"/>
          <w:sz w:val="24"/>
          <w:szCs w:val="24"/>
        </w:rPr>
        <w:t>;</w:t>
      </w:r>
    </w:p>
    <w:p w:rsidR="00757D89" w:rsidRPr="009B6FB3" w:rsidRDefault="006F272E" w:rsidP="009B6FB3">
      <w:pPr>
        <w:pStyle w:val="a3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оқырманға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реттік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қызығушылық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тудырса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мәтінін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оқу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қажеттілігін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жояды</w:t>
      </w:r>
      <w:proofErr w:type="spellEnd"/>
      <w:r w:rsidR="0025591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1958" w:rsidRPr="009B6FB3" w:rsidRDefault="00255917" w:rsidP="009B6FB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іздеу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соның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автоматтандырылған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жүйелерде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қолданылады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5917" w:rsidRPr="009B6FB3" w:rsidRDefault="00255917" w:rsidP="009B6FB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D87" w:rsidRPr="009B6FB3" w:rsidRDefault="00D67D87" w:rsidP="009B6FB3">
      <w:pPr>
        <w:widowControl w:val="0"/>
        <w:tabs>
          <w:tab w:val="left" w:pos="555"/>
        </w:tabs>
        <w:spacing w:before="93" w:line="235" w:lineRule="auto"/>
        <w:ind w:left="195" w:right="532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Мақалаға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аннотация (реферат) </w:t>
      </w:r>
      <w:proofErr w:type="spellStart"/>
      <w:r w:rsidR="00255917"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болуы</w:t>
      </w:r>
      <w:proofErr w:type="spellEnd"/>
      <w:r w:rsidR="00255917"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55917"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керек</w:t>
      </w:r>
      <w:proofErr w:type="spellEnd"/>
      <w:r w:rsidR="00255917"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67D87" w:rsidRPr="009B6FB3" w:rsidRDefault="006F272E" w:rsidP="009B6FB3">
      <w:pPr>
        <w:widowControl w:val="0"/>
        <w:tabs>
          <w:tab w:val="left" w:pos="555"/>
        </w:tabs>
        <w:spacing w:before="93" w:line="235" w:lineRule="auto"/>
        <w:ind w:left="195" w:right="5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proofErr w:type="spellStart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сөздерді</w:t>
      </w:r>
      <w:proofErr w:type="spellEnd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қамтымайды</w:t>
      </w:r>
      <w:proofErr w:type="spellEnd"/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67D87" w:rsidRPr="009B6FB3" w:rsidRDefault="00D67D87" w:rsidP="009B6FB3">
      <w:pPr>
        <w:pStyle w:val="a4"/>
        <w:widowControl w:val="0"/>
        <w:numPr>
          <w:ilvl w:val="0"/>
          <w:numId w:val="7"/>
        </w:numPr>
        <w:tabs>
          <w:tab w:val="left" w:pos="555"/>
        </w:tabs>
        <w:spacing w:before="93" w:line="235" w:lineRule="auto"/>
        <w:ind w:right="5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Түпнұсқа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7" w:rsidRPr="009B6FB3" w:rsidRDefault="00D67D87" w:rsidP="009B6FB3">
      <w:pPr>
        <w:pStyle w:val="a4"/>
        <w:widowControl w:val="0"/>
        <w:numPr>
          <w:ilvl w:val="0"/>
          <w:numId w:val="7"/>
        </w:numPr>
        <w:tabs>
          <w:tab w:val="left" w:pos="555"/>
        </w:tabs>
        <w:spacing w:before="93" w:line="235" w:lineRule="auto"/>
        <w:ind w:right="53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Мазмұндық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мақаланың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>);</w:t>
      </w:r>
    </w:p>
    <w:p w:rsidR="00D67D87" w:rsidRPr="009B6FB3" w:rsidRDefault="006F272E" w:rsidP="009B6FB3">
      <w:pPr>
        <w:widowControl w:val="0"/>
        <w:tabs>
          <w:tab w:val="left" w:pos="555"/>
        </w:tabs>
        <w:spacing w:before="93" w:line="235" w:lineRule="auto"/>
        <w:ind w:left="195" w:right="5321"/>
        <w:jc w:val="both"/>
        <w:rPr>
          <w:rFonts w:ascii="Times New Roman" w:hAnsi="Times New Roman" w:cs="Times New Roman"/>
          <w:sz w:val="24"/>
          <w:szCs w:val="24"/>
        </w:rPr>
      </w:pPr>
      <w:r w:rsidRPr="009B6FB3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sz w:val="24"/>
          <w:szCs w:val="24"/>
        </w:rPr>
        <w:tab/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логикасын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87" w:rsidRPr="009B6FB3">
        <w:rPr>
          <w:rFonts w:ascii="Times New Roman" w:hAnsi="Times New Roman" w:cs="Times New Roman"/>
          <w:sz w:val="24"/>
          <w:szCs w:val="24"/>
        </w:rPr>
        <w:t>ұстаныңыз</w:t>
      </w:r>
      <w:proofErr w:type="spellEnd"/>
      <w:r w:rsidR="00D67D87" w:rsidRPr="009B6FB3">
        <w:rPr>
          <w:rFonts w:ascii="Times New Roman" w:hAnsi="Times New Roman" w:cs="Times New Roman"/>
          <w:sz w:val="24"/>
          <w:szCs w:val="24"/>
        </w:rPr>
        <w:t>);</w:t>
      </w:r>
    </w:p>
    <w:p w:rsidR="00D67D87" w:rsidRPr="009B6FB3" w:rsidRDefault="006F272E" w:rsidP="009B6FB3">
      <w:pPr>
        <w:widowControl w:val="0"/>
        <w:tabs>
          <w:tab w:val="left" w:pos="555"/>
        </w:tabs>
        <w:spacing w:before="93" w:line="235" w:lineRule="auto"/>
        <w:ind w:left="195" w:right="5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="00D67D87" w:rsidRPr="009B6F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Шағын (150-ден 180 сөзге дейінгі көлемде).</w:t>
      </w:r>
    </w:p>
    <w:p w:rsidR="009F1958" w:rsidRPr="009B6FB3" w:rsidRDefault="00D67D87" w:rsidP="009B6FB3">
      <w:pPr>
        <w:pStyle w:val="a4"/>
        <w:widowControl w:val="0"/>
        <w:numPr>
          <w:ilvl w:val="0"/>
          <w:numId w:val="8"/>
        </w:numPr>
        <w:tabs>
          <w:tab w:val="left" w:pos="555"/>
        </w:tabs>
        <w:spacing w:before="93" w:line="235" w:lineRule="auto"/>
        <w:ind w:right="5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Аннотация (реферат)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мақала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мазмұнының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аспектілерін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7D87" w:rsidRPr="009B6FB3" w:rsidRDefault="00D67D87" w:rsidP="009B6FB3">
      <w:pPr>
        <w:widowControl w:val="0"/>
        <w:tabs>
          <w:tab w:val="left" w:pos="555"/>
        </w:tabs>
        <w:spacing w:before="93" w:line="235" w:lineRule="auto"/>
        <w:ind w:left="195" w:right="53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EBB" w:rsidRPr="009B6FB3" w:rsidRDefault="00042EBB" w:rsidP="009B6FB3">
      <w:pPr>
        <w:widowControl w:val="0"/>
        <w:tabs>
          <w:tab w:val="left" w:pos="555"/>
        </w:tabs>
        <w:spacing w:before="92" w:line="235" w:lineRule="auto"/>
        <w:ind w:left="195" w:right="527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Пәні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жұмыс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мақсаты</w:t>
      </w:r>
      <w:proofErr w:type="spellEnd"/>
      <w:r w:rsidRPr="009B6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42EBB" w:rsidRPr="009B6FB3" w:rsidRDefault="006F272E" w:rsidP="009B6FB3">
      <w:pPr>
        <w:widowControl w:val="0"/>
        <w:tabs>
          <w:tab w:val="left" w:pos="555"/>
        </w:tabs>
        <w:spacing w:before="92" w:line="235" w:lineRule="auto"/>
        <w:ind w:left="195" w:right="527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9B6FB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</w:t>
      </w:r>
      <w:r w:rsidRPr="009B6FB3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proofErr w:type="spellStart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Жұмысты</w:t>
      </w:r>
      <w:proofErr w:type="spellEnd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жүргізу</w:t>
      </w:r>
      <w:proofErr w:type="spellEnd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әдісі</w:t>
      </w:r>
      <w:proofErr w:type="spellEnd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немесе</w:t>
      </w:r>
      <w:proofErr w:type="spellEnd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әдістемесі</w:t>
      </w:r>
      <w:proofErr w:type="spellEnd"/>
      <w:r w:rsidR="00042EBB"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042EBB" w:rsidRPr="009B6FB3" w:rsidRDefault="00042EBB" w:rsidP="009B6FB3">
      <w:pPr>
        <w:pStyle w:val="a4"/>
        <w:widowControl w:val="0"/>
        <w:numPr>
          <w:ilvl w:val="0"/>
          <w:numId w:val="8"/>
        </w:numPr>
        <w:tabs>
          <w:tab w:val="left" w:pos="555"/>
        </w:tabs>
        <w:spacing w:before="92" w:line="235" w:lineRule="auto"/>
        <w:ind w:right="527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Жұмыс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нәтижелері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042EBB" w:rsidRPr="009B6FB3" w:rsidRDefault="00042EBB" w:rsidP="009B6FB3">
      <w:pPr>
        <w:pStyle w:val="a4"/>
        <w:widowControl w:val="0"/>
        <w:numPr>
          <w:ilvl w:val="0"/>
          <w:numId w:val="8"/>
        </w:numPr>
        <w:tabs>
          <w:tab w:val="left" w:pos="555"/>
        </w:tabs>
        <w:spacing w:before="92" w:line="235" w:lineRule="auto"/>
        <w:ind w:right="527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  <w:proofErr w:type="spellStart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>Нәтижелерді</w:t>
      </w:r>
      <w:proofErr w:type="spellEnd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>қолдану</w:t>
      </w:r>
      <w:proofErr w:type="spellEnd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>саласы</w:t>
      </w:r>
      <w:proofErr w:type="spellEnd"/>
      <w:r w:rsidRPr="009B6FB3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042EBB" w:rsidRPr="009B6FB3" w:rsidRDefault="00042EBB" w:rsidP="009B6FB3">
      <w:pPr>
        <w:pStyle w:val="a4"/>
        <w:widowControl w:val="0"/>
        <w:numPr>
          <w:ilvl w:val="0"/>
          <w:numId w:val="8"/>
        </w:numPr>
        <w:tabs>
          <w:tab w:val="left" w:pos="555"/>
        </w:tabs>
        <w:spacing w:before="92" w:line="235" w:lineRule="auto"/>
        <w:ind w:right="5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Қорытындылар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7D89" w:rsidRPr="009B6FB3" w:rsidRDefault="00757D89" w:rsidP="009B6FB3">
      <w:pPr>
        <w:pStyle w:val="a4"/>
        <w:widowControl w:val="0"/>
        <w:numPr>
          <w:ilvl w:val="0"/>
          <w:numId w:val="8"/>
        </w:numPr>
        <w:spacing w:line="238" w:lineRule="auto"/>
        <w:ind w:right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тақырыбы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мақсаты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мақала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тақырыбынан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болмаса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7D89" w:rsidRPr="009B6FB3" w:rsidRDefault="00757D89" w:rsidP="009B6FB3">
      <w:pPr>
        <w:widowControl w:val="0"/>
        <w:spacing w:line="238" w:lineRule="auto"/>
        <w:ind w:right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958" w:rsidRPr="009B6FB3" w:rsidRDefault="006C0755" w:rsidP="009B6F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Жұмыстың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әдісі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мен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әдіснамасын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егер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олар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жаңашылдықпен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ерекшеленсе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немесе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осы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жұмыс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тұрғысынан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қызығушылық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тудырса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сипаттаған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w w:val="99"/>
          <w:sz w:val="24"/>
          <w:szCs w:val="24"/>
        </w:rPr>
        <w:t>жөн</w:t>
      </w:r>
      <w:proofErr w:type="spellEnd"/>
      <w:r w:rsidRPr="009B6FB3">
        <w:rPr>
          <w:rFonts w:ascii="Times New Roman" w:hAnsi="Times New Roman" w:cs="Times New Roman"/>
          <w:w w:val="99"/>
          <w:sz w:val="24"/>
          <w:szCs w:val="24"/>
        </w:rPr>
        <w:t xml:space="preserve">.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Эксперименттік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рефераттарында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>.</w:t>
      </w:r>
    </w:p>
    <w:p w:rsidR="006C0755" w:rsidRPr="009B6FB3" w:rsidRDefault="006C0755" w:rsidP="009B6F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1958" w:rsidRPr="009B6FB3" w:rsidRDefault="006C0755" w:rsidP="009B6FB3">
      <w:pPr>
        <w:jc w:val="both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Жұмыс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нәтижелері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өте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дәл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және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ақпараттық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сипатталған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.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Негізгі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теориялық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және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эксперименттік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нәтижелер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нақты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деректер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анықталған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қатынастар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мен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заңдылықтар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келтірілген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.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Бұл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жағдайда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жаңа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нәтижелер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мен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ұзақ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мерзімді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маңызы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бар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мәліметтерге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маңызды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тұжырымдарға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қолданыстағы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теорияларды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жоққа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шығаратын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тұжырымдарға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сондай-ақ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автордың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пікірінше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практикалық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маңызы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бар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мәліметтерге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артықшылық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беріледі</w:t>
      </w:r>
      <w:proofErr w:type="spellEnd"/>
      <w:r w:rsidRPr="009B6FB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6C0755" w:rsidRPr="009B6FB3" w:rsidRDefault="006C0755" w:rsidP="009B6F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1958" w:rsidRPr="009B6FB3" w:rsidRDefault="006C0755" w:rsidP="009B6F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lastRenderedPageBreak/>
        <w:t>Қорытындылар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мақалада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сипатталған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ұсыныстармен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бағалаулармен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ұсыныстармен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гипотезалармен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бірге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жүруі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color w:val="000000"/>
          <w:sz w:val="24"/>
          <w:szCs w:val="24"/>
        </w:rPr>
        <w:t>мүмкін</w:t>
      </w:r>
      <w:proofErr w:type="spellEnd"/>
      <w:r w:rsidRPr="009B6F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755" w:rsidRPr="009B6FB3" w:rsidRDefault="006C0755" w:rsidP="009B6FB3">
      <w:pPr>
        <w:spacing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958" w:rsidRPr="009B6FB3" w:rsidRDefault="006C0755" w:rsidP="009B6F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тақырыбындағы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Аннотация (реферат)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мәтінінде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қайталанбауы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тіркестерінен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авторы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ақыл-ойды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>").</w:t>
      </w:r>
    </w:p>
    <w:p w:rsidR="006C0755" w:rsidRPr="009B6FB3" w:rsidRDefault="006C0755" w:rsidP="009B6F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сипаттамасын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аннотацияда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рефератта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жасамаса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FB3">
        <w:rPr>
          <w:rFonts w:ascii="Times New Roman" w:hAnsi="Times New Roman" w:cs="Times New Roman"/>
          <w:sz w:val="24"/>
          <w:szCs w:val="24"/>
        </w:rPr>
        <w:t>келтірілмейді</w:t>
      </w:r>
      <w:proofErr w:type="spellEnd"/>
      <w:r w:rsidRPr="009B6F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C0755" w:rsidRPr="009B6FB3" w:rsidRDefault="006C0755" w:rsidP="009B6FB3">
      <w:pPr>
        <w:widowControl w:val="0"/>
        <w:spacing w:before="117" w:line="239" w:lineRule="auto"/>
        <w:ind w:righ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Аннотация (реферат)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мәтінінде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тән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синтаксистік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конструкцияларды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грамматикалық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конструкциялардан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аулақ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1958" w:rsidRPr="009B6FB3" w:rsidRDefault="006C0755" w:rsidP="009B6FB3">
      <w:pPr>
        <w:widowControl w:val="0"/>
        <w:spacing w:before="117" w:line="239" w:lineRule="auto"/>
        <w:ind w:righ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Аннотация (реферат)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мәтінінде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мақала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мәтінінен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мағыналы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қолданылуы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9B6F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9F1958" w:rsidRPr="009B6FB3">
      <w:type w:val="continuous"/>
      <w:pgSz w:w="11906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73D"/>
    <w:multiLevelType w:val="hybridMultilevel"/>
    <w:tmpl w:val="05668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C6E4C"/>
    <w:multiLevelType w:val="hybridMultilevel"/>
    <w:tmpl w:val="2EE685C2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1B816D22"/>
    <w:multiLevelType w:val="hybridMultilevel"/>
    <w:tmpl w:val="F9BE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202D"/>
    <w:multiLevelType w:val="hybridMultilevel"/>
    <w:tmpl w:val="0C4E7884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357A3995"/>
    <w:multiLevelType w:val="hybridMultilevel"/>
    <w:tmpl w:val="9BCC6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F03455"/>
    <w:multiLevelType w:val="hybridMultilevel"/>
    <w:tmpl w:val="BB74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D0D6D"/>
    <w:multiLevelType w:val="hybridMultilevel"/>
    <w:tmpl w:val="A2FE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03294"/>
    <w:multiLevelType w:val="hybridMultilevel"/>
    <w:tmpl w:val="3944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58"/>
    <w:rsid w:val="00042EBB"/>
    <w:rsid w:val="0024144E"/>
    <w:rsid w:val="00255917"/>
    <w:rsid w:val="002908FE"/>
    <w:rsid w:val="002B392C"/>
    <w:rsid w:val="006C0755"/>
    <w:rsid w:val="006F272E"/>
    <w:rsid w:val="00757D89"/>
    <w:rsid w:val="00900552"/>
    <w:rsid w:val="009B6FB3"/>
    <w:rsid w:val="009F1958"/>
    <w:rsid w:val="00AA3DE0"/>
    <w:rsid w:val="00D67D87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FEC0"/>
  <w15:docId w15:val="{67543923-9E20-42A1-AD58-74A60C4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8F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0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67D8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D87"/>
    <w:rPr>
      <w:rFonts w:ascii="Consolas" w:hAnsi="Consolas"/>
      <w:sz w:val="20"/>
      <w:szCs w:val="20"/>
    </w:rPr>
  </w:style>
  <w:style w:type="paragraph" w:styleId="a4">
    <w:name w:val="List Paragraph"/>
    <w:basedOn w:val="a"/>
    <w:uiPriority w:val="34"/>
    <w:qFormat/>
    <w:rsid w:val="007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4</cp:revision>
  <dcterms:created xsi:type="dcterms:W3CDTF">2022-10-17T06:53:00Z</dcterms:created>
  <dcterms:modified xsi:type="dcterms:W3CDTF">2022-10-17T08:20:00Z</dcterms:modified>
</cp:coreProperties>
</file>